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tLeast"/>
        <w:rPr>
          <w:rFonts w:hint="default" w:eastAsiaTheme="minor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="黑体" w:hAnsi="宋体" w:eastAsia="黑体"/>
          <w:b/>
          <w:color w:val="auto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宋体" w:eastAsia="黑体"/>
          <w:b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color w:val="auto"/>
          <w:sz w:val="36"/>
          <w:szCs w:val="36"/>
          <w:lang w:eastAsia="zh-CN"/>
        </w:rPr>
        <w:t>防城港职业技术学院</w:t>
      </w:r>
      <w:r>
        <w:rPr>
          <w:rFonts w:hint="eastAsia" w:ascii="黑体" w:hAnsi="宋体" w:eastAsia="黑体"/>
          <w:b/>
          <w:color w:val="auto"/>
          <w:sz w:val="36"/>
          <w:szCs w:val="36"/>
        </w:rPr>
        <w:t>生活垃圾清运</w:t>
      </w:r>
      <w:r>
        <w:rPr>
          <w:rFonts w:hint="eastAsia" w:ascii="黑体" w:hAnsi="宋体" w:eastAsia="黑体"/>
          <w:b/>
          <w:color w:val="auto"/>
          <w:sz w:val="36"/>
          <w:szCs w:val="36"/>
          <w:lang w:val="en-US" w:eastAsia="zh-CN"/>
        </w:rPr>
        <w:t>和处理</w:t>
      </w:r>
      <w:r>
        <w:rPr>
          <w:rFonts w:hint="eastAsia" w:ascii="黑体" w:hAnsi="宋体" w:eastAsia="黑体"/>
          <w:b/>
          <w:color w:val="auto"/>
          <w:sz w:val="36"/>
          <w:szCs w:val="36"/>
        </w:rPr>
        <w:t>服务项目报价</w:t>
      </w:r>
      <w:r>
        <w:rPr>
          <w:rFonts w:hint="eastAsia" w:ascii="黑体" w:hAnsi="宋体" w:eastAsia="黑体"/>
          <w:b/>
          <w:color w:val="auto"/>
          <w:sz w:val="36"/>
          <w:szCs w:val="36"/>
          <w:lang w:val="en-US" w:eastAsia="zh-CN"/>
        </w:rPr>
        <w:t>单</w:t>
      </w:r>
    </w:p>
    <w:bookmarkEnd w:id="0"/>
    <w:tbl>
      <w:tblPr>
        <w:tblStyle w:val="3"/>
        <w:tblW w:w="140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693"/>
        <w:gridCol w:w="4678"/>
        <w:gridCol w:w="58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项目内容</w:t>
            </w:r>
          </w:p>
        </w:tc>
        <w:tc>
          <w:tcPr>
            <w:tcW w:w="46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报价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58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防城港职业技术学院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2024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年生活垃圾清运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和处理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服务</w:t>
            </w:r>
          </w:p>
        </w:tc>
        <w:tc>
          <w:tcPr>
            <w:tcW w:w="46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 xml:space="preserve">大写：  </w:t>
            </w:r>
            <w:r>
              <w:rPr>
                <w:rFonts w:hint="eastAsia" w:ascii="宋体" w:hAnsi="宋体"/>
                <w:color w:val="auto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圆/壹年</w:t>
            </w:r>
          </w:p>
          <w:p>
            <w:pPr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（小写</w:t>
            </w:r>
            <w:r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¥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元/壹年）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（超过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18.6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万元/壹年为无效报价）</w:t>
            </w:r>
          </w:p>
        </w:tc>
        <w:tc>
          <w:tcPr>
            <w:tcW w:w="58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480" w:firstLineChars="2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本项目采用合同总价包干，除支付全年生活垃圾清运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和处理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服务费用外，甲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方不再支付任何其他费用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ind w:firstLine="480" w:firstLineChars="200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2.校方预估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每日垃圾约1吨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，投标人可予以参考或自行评估数量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spacing w:line="420" w:lineRule="exact"/>
        <w:jc w:val="left"/>
        <w:rPr>
          <w:rFonts w:hint="eastAsia" w:ascii="黑体" w:eastAsia="黑体"/>
          <w:b/>
          <w:color w:val="auto"/>
          <w:sz w:val="24"/>
          <w:szCs w:val="24"/>
        </w:rPr>
      </w:pPr>
      <w:r>
        <w:rPr>
          <w:rFonts w:hint="eastAsia" w:ascii="黑体" w:eastAsia="黑体"/>
          <w:b/>
          <w:color w:val="auto"/>
          <w:sz w:val="24"/>
          <w:szCs w:val="24"/>
        </w:rPr>
        <w:t>注：所报价格应</w:t>
      </w:r>
      <w:r>
        <w:rPr>
          <w:rFonts w:ascii="黑体" w:eastAsia="黑体"/>
          <w:b/>
          <w:color w:val="auto"/>
          <w:sz w:val="24"/>
          <w:szCs w:val="24"/>
        </w:rPr>
        <w:t>包括在承包期内</w:t>
      </w:r>
      <w:r>
        <w:rPr>
          <w:rFonts w:hint="eastAsia" w:ascii="黑体" w:eastAsia="黑体"/>
          <w:b/>
          <w:color w:val="auto"/>
          <w:sz w:val="24"/>
          <w:szCs w:val="24"/>
        </w:rPr>
        <w:t>从学校到垃圾处理站及垃圾处理所需的人工费、车费、税费、处理费及合同包含的所有风险、责任等各项应有的一切费用。</w:t>
      </w:r>
    </w:p>
    <w:p>
      <w:pPr>
        <w:spacing w:line="420" w:lineRule="exact"/>
        <w:ind w:firstLine="472" w:firstLineChars="196"/>
        <w:rPr>
          <w:rFonts w:hint="eastAsia" w:ascii="黑体" w:eastAsia="黑体"/>
          <w:b/>
          <w:color w:val="auto"/>
          <w:sz w:val="24"/>
          <w:szCs w:val="24"/>
        </w:rPr>
      </w:pPr>
      <w:r>
        <w:rPr>
          <w:rFonts w:hint="eastAsia" w:ascii="黑体" w:eastAsia="黑体"/>
          <w:b/>
          <w:color w:val="auto"/>
          <w:sz w:val="24"/>
          <w:szCs w:val="24"/>
        </w:rPr>
        <w:t xml:space="preserve">本报价表共计1页，必须加盖投标单位公章方为有效。 </w:t>
      </w:r>
    </w:p>
    <w:p>
      <w:pPr>
        <w:widowControl/>
        <w:spacing w:line="420" w:lineRule="exact"/>
        <w:ind w:firstLine="472" w:firstLineChars="196"/>
        <w:jc w:val="left"/>
        <w:rPr>
          <w:rFonts w:hint="eastAsia" w:ascii="黑体" w:eastAsia="黑体"/>
          <w:b/>
          <w:color w:val="auto"/>
          <w:sz w:val="24"/>
          <w:szCs w:val="24"/>
        </w:rPr>
      </w:pPr>
      <w:r>
        <w:rPr>
          <w:rFonts w:hint="eastAsia" w:ascii="黑体" w:eastAsia="黑体"/>
          <w:b/>
          <w:color w:val="auto"/>
          <w:sz w:val="24"/>
          <w:szCs w:val="24"/>
        </w:rPr>
        <w:t>生活垃圾清运需在校方指定时间内、指定地点完成清运。</w:t>
      </w:r>
    </w:p>
    <w:p>
      <w:pPr>
        <w:spacing w:line="420" w:lineRule="exact"/>
        <w:rPr>
          <w:rFonts w:hint="eastAsia" w:ascii="宋体" w:hAnsi="宋体"/>
          <w:color w:val="auto"/>
          <w:sz w:val="28"/>
          <w:szCs w:val="28"/>
        </w:rPr>
      </w:pPr>
    </w:p>
    <w:p>
      <w:pPr>
        <w:spacing w:line="420" w:lineRule="exact"/>
        <w:ind w:firstLine="1120" w:firstLineChars="400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投标单位（公章）：</w:t>
      </w:r>
    </w:p>
    <w:p>
      <w:pPr>
        <w:spacing w:line="420" w:lineRule="exact"/>
        <w:rPr>
          <w:rFonts w:hint="eastAsia" w:ascii="宋体" w:hAnsi="宋体"/>
          <w:color w:val="auto"/>
          <w:sz w:val="28"/>
          <w:szCs w:val="28"/>
        </w:rPr>
      </w:pPr>
    </w:p>
    <w:p>
      <w:pPr>
        <w:spacing w:line="420" w:lineRule="exact"/>
        <w:ind w:firstLine="1120" w:firstLineChars="400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联   系   人：                     联系电话：                        年   月</w:t>
      </w:r>
    </w:p>
    <w:p>
      <w:pPr>
        <w:spacing w:line="420" w:lineRule="exact"/>
        <w:rPr>
          <w:rFonts w:hint="eastAsia" w:ascii="宋体" w:hAnsi="宋体"/>
          <w:color w:val="auto"/>
          <w:sz w:val="28"/>
          <w:szCs w:val="28"/>
        </w:rPr>
        <w:sectPr>
          <w:footerReference r:id="rId3" w:type="default"/>
          <w:pgSz w:w="16838" w:h="11906" w:orient="landscape"/>
          <w:pgMar w:top="1587" w:right="2098" w:bottom="1474" w:left="1984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